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0F6E74"/>
          <w:spacing w:val="40"/>
          <w:sz w:val="18"/>
          <w:szCs w:val="18"/>
        </w:rPr>
        <w:t xml:space="preserve">COIL COATING SPECIFICATION</w:t>
      </w:r>
    </w:p>
    <w:p>
      <w:pPr>
        <w:pStyle w:val="Title"/>
        <w:spacing w:after="160"/>
      </w:pPr>
      <w:r>
        <w:t xml:space="preserve">Corrosion-protection coating of HVAC coils and heat exchangers</w:t>
      </w:r>
    </w:p>
    <w:p>
      <w:pPr>
        <w:spacing w:after="120"/>
      </w:pPr>
      <w:r>
        <w:rPr>
          <w:i/>
          <w:iCs/>
          <w:color w:val="4A5A66"/>
          <w:sz w:val="18"/>
          <w:szCs w:val="18"/>
        </w:rPr>
        <w:t xml:space="preserve">Template for tender and purchase documents. Replace every field in [brackets], delete clauses that do not apply, and keep the clause numbers. The template describes performance and evidence, not a coating brand.</w:t>
      </w:r>
    </w:p>
    <w:p>
      <w:pPr>
        <w:pBdr>
          <w:bottom w:val="single" w:color="D5DADD" w:sz="6" w:space="4"/>
        </w:pBdr>
        <w:spacing w:after="200"/>
      </w:pPr>
    </w:p>
    <w:p>
      <w:pPr>
        <w:pStyle w:val="Heading1"/>
        <w:spacing w:after="120" w:before="280"/>
      </w:pPr>
      <w:r>
        <w:t xml:space="preserve">1. Project data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shd w:fill="F5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E1A24"/>
                <w:sz w:val="18"/>
                <w:szCs w:val="18"/>
              </w:rPr>
              <w:t xml:space="preserve">Item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shd w:fill="F5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E1A24"/>
                <w:sz w:val="18"/>
                <w:szCs w:val="18"/>
              </w:rPr>
              <w:t xml:space="preserve">Value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Project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[project name and location]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Equipment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[condenser coils / evaporator coils / outdoor units / chiller coils / dry coolers / other]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Coil type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[copper tube, aluminium fin / microchannel (all aluminium) / copper fin / other]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Quantity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[number of coils or units, models or coil dimensions]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Fin density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[fins per inch or fin pitch in mm]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Destination and site</w:t>
            </w:r>
          </w:p>
        </w:tc>
        <w:tc>
          <w:tcPr>
            <w:tcW w:type="dxa" w:w="64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[country, city; distance from the sea in km]</w:t>
            </w:r>
          </w:p>
        </w:tc>
      </w:tr>
    </w:tbl>
    <w:p>
      <w:pPr>
        <w:pStyle w:val="Heading1"/>
        <w:spacing w:after="120" w:before="280"/>
      </w:pPr>
      <w:r>
        <w:t xml:space="preserve">2. Site conditions</w:t>
      </w:r>
    </w:p>
    <w:p>
      <w:pPr>
        <w:spacing w:after="120"/>
        <w:ind w:left="0"/>
      </w:pPr>
      <w:r>
        <w:rPr>
          <w:color w:val="0E1A24"/>
        </w:rPr>
        <w:t xml:space="preserve">2.1  Site atmospheric corrosivity category to ISO 9223: </w:t>
      </w:r>
      <w:r>
        <w:rPr>
          <w:b/>
          <w:bCs/>
          <w:color w:val="0F6E74"/>
        </w:rPr>
        <w:t xml:space="preserve">[C3 / C4 / C5 / CX]</w:t>
      </w:r>
      <w:r>
        <w:rPr>
          <w:color w:val="0E1A24"/>
        </w:rPr>
        <w:t xml:space="preserve">.</w:t>
      </w:r>
    </w:p>
    <w:p>
      <w:pPr>
        <w:spacing w:after="120"/>
        <w:ind w:left="0"/>
      </w:pPr>
      <w:r>
        <w:rPr>
          <w:color w:val="0E1A24"/>
        </w:rPr>
        <w:t xml:space="preserve">2.2  Additional exposure: </w:t>
      </w:r>
      <w:r>
        <w:rPr>
          <w:b/>
          <w:bCs/>
          <w:color w:val="0F6E74"/>
        </w:rPr>
        <w:t xml:space="preserve">[none / industrial pollution / acid gases / H₂S / ammonia / chemical splash / indoor pool air]</w:t>
      </w:r>
      <w:r>
        <w:rPr>
          <w:color w:val="0E1A24"/>
        </w:rPr>
        <w:t xml:space="preserve">.</w:t>
      </w:r>
    </w:p>
    <w:p>
      <w:pPr>
        <w:spacing w:after="120"/>
        <w:ind w:left="0"/>
      </w:pPr>
      <w:r>
        <w:rPr>
          <w:color w:val="0E1A24"/>
        </w:rPr>
        <w:t xml:space="preserve">2.3  Where the site category is not known, it shall be estimated from distance to the sea, humidity, nearby industry and shelter, and the basis stated.</w:t>
      </w:r>
    </w:p>
    <w:p>
      <w:pPr>
        <w:pStyle w:val="Heading1"/>
        <w:spacing w:after="120" w:before="280"/>
      </w:pPr>
      <w:r>
        <w:t xml:space="preserve">3. Scope of coating</w:t>
      </w:r>
    </w:p>
    <w:p>
      <w:pPr>
        <w:spacing w:after="120"/>
        <w:ind w:left="0"/>
      </w:pPr>
      <w:r>
        <w:rPr>
          <w:color w:val="0E1A24"/>
        </w:rPr>
        <w:t xml:space="preserve">3.1  Coils shall be coated after fabrication. The coating shall cover fin faces, fin edges, fin collars, tubes, return bends, headers and brazed joints.</w:t>
      </w:r>
    </w:p>
    <w:p>
      <w:pPr>
        <w:spacing w:after="120"/>
        <w:ind w:left="0"/>
      </w:pPr>
      <w:r>
        <w:rPr>
          <w:color w:val="0E1A24"/>
        </w:rPr>
        <w:t xml:space="preserve">3.2  Pre-coated fin stock (for example blue or gold fin) does not by itself meet this clause.</w:t>
      </w:r>
    </w:p>
    <w:p>
      <w:pPr>
        <w:spacing w:after="120"/>
        <w:ind w:left="0"/>
      </w:pPr>
      <w:r>
        <w:rPr>
          <w:color w:val="0E1A24"/>
        </w:rPr>
        <w:t xml:space="preserve">3.3  Complete units that cannot be oven-cured shall be coated with an ambient-cure system after masking of controls, sensors, terminals, valves and refrigerant connections, or the coil shall be removed, coated and cured separately, then refitted and pressure-checked.</w:t>
      </w:r>
    </w:p>
    <w:p>
      <w:pPr>
        <w:pStyle w:val="Heading1"/>
        <w:spacing w:after="120" w:before="280"/>
      </w:pPr>
      <w:r>
        <w:t xml:space="preserve">4. Coating system</w:t>
      </w:r>
    </w:p>
    <w:p>
      <w:pPr>
        <w:spacing w:after="120"/>
        <w:ind w:left="0"/>
      </w:pPr>
      <w:r>
        <w:rPr>
          <w:color w:val="0E1A24"/>
        </w:rPr>
        <w:t xml:space="preserve">4.1  Coating system: </w:t>
      </w:r>
      <w:r>
        <w:rPr>
          <w:b/>
          <w:bCs/>
          <w:color w:val="0F6E74"/>
        </w:rPr>
        <w:t xml:space="preserve">[chemistry or product]</w:t>
      </w:r>
      <w:r>
        <w:rPr>
          <w:color w:val="0E1A24"/>
        </w:rPr>
        <w:t xml:space="preserve"> or equal. Equality is demonstrated by the evidence required in clauses 6 to 8.</w:t>
      </w:r>
    </w:p>
    <w:p>
      <w:pPr>
        <w:spacing w:after="120"/>
        <w:ind w:left="0"/>
      </w:pPr>
      <w:r>
        <w:rPr>
          <w:color w:val="0E1A24"/>
        </w:rPr>
        <w:t xml:space="preserve">4.2  The technical data sheet (TDS) and safety data sheet (SDS) shall be submitted for approval before production.</w:t>
      </w:r>
    </w:p>
    <w:p>
      <w:pPr>
        <w:spacing w:after="120"/>
        <w:ind w:left="0"/>
      </w:pPr>
      <w:r>
        <w:rPr>
          <w:color w:val="0E1A24"/>
        </w:rPr>
        <w:t xml:space="preserve">4.3  The coating shall be suitable for the coil metals listed in clause 1. Suitability for copper shall be stated in the TDS where the coil contains copper.</w:t>
      </w:r>
    </w:p>
    <w:p>
      <w:pPr>
        <w:pStyle w:val="Heading1"/>
        <w:spacing w:after="120" w:before="280"/>
      </w:pPr>
      <w:r>
        <w:t xml:space="preserve">5. Application</w:t>
      </w:r>
    </w:p>
    <w:p>
      <w:pPr>
        <w:spacing w:after="120"/>
        <w:ind w:left="0"/>
      </w:pPr>
      <w:r>
        <w:rPr>
          <w:color w:val="0E1A24"/>
        </w:rPr>
        <w:t xml:space="preserve">5.1  Application method: </w:t>
      </w:r>
      <w:r>
        <w:rPr>
          <w:b/>
          <w:bCs/>
          <w:color w:val="0F6E74"/>
        </w:rPr>
        <w:t xml:space="preserve">[dip / spray / flood / full-unit]</w:t>
      </w:r>
      <w:r>
        <w:rPr>
          <w:color w:val="0E1A24"/>
        </w:rPr>
        <w:t xml:space="preserve">. Dip application is preferred for loose coils that fit the tank.</w:t>
      </w:r>
    </w:p>
    <w:p>
      <w:pPr>
        <w:spacing w:after="120"/>
        <w:ind w:left="0"/>
      </w:pPr>
      <w:r>
        <w:rPr>
          <w:color w:val="0E1A24"/>
        </w:rPr>
        <w:t xml:space="preserve">5.2  Surface preparation: degreasing, rinsing and drying so that the surface is free of oil, water and dust before coating.</w:t>
      </w:r>
    </w:p>
    <w:p>
      <w:pPr>
        <w:spacing w:after="120"/>
        <w:ind w:left="0"/>
      </w:pPr>
      <w:r>
        <w:rPr>
          <w:color w:val="0E1A24"/>
        </w:rPr>
        <w:t xml:space="preserve">5.3  Excess coating shall be removed before cure so that fins are not bridged.</w:t>
      </w:r>
    </w:p>
    <w:p>
      <w:pPr>
        <w:pStyle w:val="Heading1"/>
        <w:spacing w:after="120" w:before="280"/>
      </w:pPr>
      <w:r>
        <w:t xml:space="preserve">6. Dry film thickness</w:t>
      </w:r>
    </w:p>
    <w:p>
      <w:pPr>
        <w:spacing w:after="120"/>
        <w:ind w:left="0"/>
      </w:pPr>
      <w:r>
        <w:rPr>
          <w:color w:val="0E1A24"/>
        </w:rPr>
        <w:t xml:space="preserve">6.1  Dry film thickness: </w:t>
      </w:r>
      <w:r>
        <w:rPr>
          <w:b/>
          <w:bCs/>
          <w:color w:val="0F6E74"/>
        </w:rPr>
        <w:t xml:space="preserve">[x–y]</w:t>
      </w:r>
      <w:r>
        <w:rPr>
          <w:color w:val="0E1A24"/>
        </w:rPr>
        <w:t xml:space="preserve"> μm, within the range given in the coating TDS.</w:t>
      </w:r>
    </w:p>
    <w:p>
      <w:pPr>
        <w:spacing w:after="120"/>
        <w:ind w:left="0"/>
      </w:pPr>
      <w:r>
        <w:rPr>
          <w:color w:val="0E1A24"/>
        </w:rPr>
        <w:t xml:space="preserve">6.2  Measurement: on witness panels of the same metal coated and cured with each batch, by eddy-current gauge (ISO 2360) or by film weight, and on flat coil areas. The method, locations and number of readings shall be recorded.</w:t>
      </w:r>
    </w:p>
    <w:p>
      <w:pPr>
        <w:pStyle w:val="Heading1"/>
        <w:spacing w:after="120" w:before="280"/>
      </w:pPr>
      <w:r>
        <w:t xml:space="preserve">7. Cure</w:t>
      </w:r>
    </w:p>
    <w:p>
      <w:pPr>
        <w:spacing w:after="120"/>
        <w:ind w:left="0"/>
      </w:pPr>
      <w:r>
        <w:rPr>
          <w:color w:val="0E1A24"/>
        </w:rPr>
        <w:t xml:space="preserve">7.1  The coating shall be cured as stated in its TDS. Part temperature and time (oven cure), or ambient conditions and time (ambient cure), shall be recorded for each batch.</w:t>
      </w:r>
    </w:p>
    <w:p>
      <w:pPr>
        <w:spacing w:after="120"/>
        <w:ind w:left="0"/>
      </w:pPr>
      <w:r>
        <w:rPr>
          <w:color w:val="0E1A24"/>
        </w:rPr>
        <w:t xml:space="preserve">7.2  Coils shall not be packed before the recorded cure is complete.</w:t>
      </w:r>
    </w:p>
    <w:p>
      <w:pPr>
        <w:pStyle w:val="Heading1"/>
        <w:spacing w:after="120" w:before="280"/>
      </w:pPr>
      <w:r>
        <w:t xml:space="preserve">8. Performance evidence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900"/>
        <w:gridCol w:w="3226"/>
      </w:tblGrid>
      <w:tr>
        <w:trPr>
          <w:tblHeader/>
        </w:trPr>
        <w:tc>
          <w:tcPr>
            <w:tcW w:type="dxa" w:w="1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shd w:fill="F5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E1A24"/>
                <w:sz w:val="18"/>
                <w:szCs w:val="18"/>
              </w:rPr>
              <w:t xml:space="preserve">Property</w:t>
            </w:r>
          </w:p>
        </w:tc>
        <w:tc>
          <w:tcPr>
            <w:tcW w:type="dxa" w:w="3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shd w:fill="F5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E1A24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32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shd w:fill="F5F6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E1A24"/>
                <w:sz w:val="18"/>
                <w:szCs w:val="18"/>
              </w:rPr>
              <w:t xml:space="preserve">Evidence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Salt spray</w:t>
            </w:r>
          </w:p>
        </w:tc>
        <w:tc>
          <w:tcPr>
            <w:tcW w:type="dxa" w:w="3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[standard, e.g. ASTM B117 or ISO 9227 NSS]</w:t>
            </w:r>
            <w:r>
              <w:rPr>
                <w:color w:val="0E1A24"/>
                <w:sz w:val="19"/>
                <w:szCs w:val="19"/>
              </w:rPr>
              <w:t xml:space="preserve">; minimum </w:t>
            </w:r>
            <w:r>
              <w:rPr>
                <w:b/>
                <w:bCs/>
                <w:color w:val="0F6E74"/>
                <w:sz w:val="19"/>
                <w:szCs w:val="19"/>
              </w:rPr>
              <w:t xml:space="preserve">[ ]</w:t>
            </w:r>
            <w:r>
              <w:rPr>
                <w:color w:val="0E1A24"/>
                <w:sz w:val="19"/>
                <w:szCs w:val="19"/>
              </w:rPr>
              <w:t xml:space="preserve"> h; failure criterion </w:t>
            </w:r>
            <w:r>
              <w:rPr>
                <w:b/>
                <w:bCs/>
                <w:color w:val="0F6E74"/>
                <w:sz w:val="19"/>
                <w:szCs w:val="19"/>
              </w:rPr>
              <w:t xml:space="preserve">[ ]</w:t>
            </w:r>
          </w:p>
        </w:tc>
        <w:tc>
          <w:tcPr>
            <w:tcW w:type="dxa" w:w="32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Laboratory report stating substrate and film thickness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Heat transfer</w:t>
            </w:r>
          </w:p>
        </w:tc>
        <w:tc>
          <w:tcPr>
            <w:tcW w:type="dxa" w:w="3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Capacity loss not more than </w:t>
            </w:r>
            <w:r>
              <w:rPr>
                <w:b/>
                <w:bCs/>
                <w:color w:val="0F6E74"/>
                <w:sz w:val="19"/>
                <w:szCs w:val="19"/>
              </w:rPr>
              <w:t xml:space="preserve">[ ]</w:t>
            </w:r>
            <w:r>
              <w:rPr>
                <w:color w:val="0E1A24"/>
                <w:sz w:val="19"/>
                <w:szCs w:val="19"/>
              </w:rPr>
              <w:t xml:space="preserve"> % at the specified film thickness</w:t>
            </w:r>
          </w:p>
        </w:tc>
        <w:tc>
          <w:tcPr>
            <w:tcW w:type="dxa" w:w="32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Before-and-after test report with method and coil geometry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Air-side pressure drop</w:t>
            </w:r>
          </w:p>
        </w:tc>
        <w:tc>
          <w:tcPr>
            <w:tcW w:type="dxa" w:w="3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Increase not more than </w:t>
            </w:r>
            <w:r>
              <w:rPr>
                <w:b/>
                <w:bCs/>
                <w:color w:val="0F6E74"/>
                <w:sz w:val="19"/>
                <w:szCs w:val="19"/>
              </w:rPr>
              <w:t xml:space="preserve">[ ]</w:t>
            </w:r>
            <w:r>
              <w:rPr>
                <w:color w:val="0E1A24"/>
                <w:sz w:val="19"/>
                <w:szCs w:val="19"/>
              </w:rPr>
              <w:t xml:space="preserve"> % at </w:t>
            </w:r>
            <w:r>
              <w:rPr>
                <w:b/>
                <w:bCs/>
                <w:color w:val="0F6E74"/>
                <w:sz w:val="19"/>
                <w:szCs w:val="19"/>
              </w:rPr>
              <w:t xml:space="preserve">[ ]</w:t>
            </w:r>
            <w:r>
              <w:rPr>
                <w:color w:val="0E1A24"/>
                <w:sz w:val="19"/>
                <w:szCs w:val="19"/>
              </w:rPr>
              <w:t xml:space="preserve"> m/s face velocity</w:t>
            </w:r>
          </w:p>
        </w:tc>
        <w:tc>
          <w:tcPr>
            <w:tcW w:type="dxa" w:w="32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Before-and-after test report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Adhesion</w:t>
            </w:r>
          </w:p>
        </w:tc>
        <w:tc>
          <w:tcPr>
            <w:tcW w:type="dxa" w:w="3900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6E74"/>
                <w:sz w:val="19"/>
                <w:szCs w:val="19"/>
              </w:rPr>
              <w:t xml:space="preserve">[ISO 2409 grade 0 or 1 / ASTM D3359 5B or 4B]</w:t>
            </w:r>
          </w:p>
        </w:tc>
        <w:tc>
          <w:tcPr>
            <w:tcW w:type="dxa" w:w="3226"/>
            <w:tcBorders>
              <w:top w:val="single" w:color="D5DADD" w:sz="4"/>
              <w:left w:val="single" w:color="D5DADD" w:sz="4"/>
              <w:bottom w:val="single" w:color="D5DADD" w:sz="4"/>
              <w:right w:val="single" w:color="D5DA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0E1A24"/>
                <w:sz w:val="19"/>
                <w:szCs w:val="19"/>
              </w:rPr>
              <w:t xml:space="preserve">Cross-cut test on batch panels</w:t>
            </w:r>
          </w:p>
        </w:tc>
      </w:tr>
    </w:tbl>
    <w:p>
      <w:pPr>
        <w:spacing w:after="120"/>
      </w:pPr>
      <w:r>
        <w:rPr>
          <w:i/>
          <w:iCs/>
          <w:color w:val="4A5A66"/>
          <w:sz w:val="18"/>
          <w:szCs w:val="18"/>
        </w:rPr>
        <w:t xml:space="preserve">Salt spray results are comparable only when the standard, substrate, film thickness and failure criterion are the same. Do not rank results measured to different standards.</w:t>
      </w:r>
    </w:p>
    <w:p>
      <w:pPr>
        <w:pStyle w:val="Heading1"/>
        <w:spacing w:after="120" w:before="280"/>
      </w:pPr>
      <w:r>
        <w:t xml:space="preserve">9. Quality control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0E1A24"/>
        </w:rPr>
        <w:t xml:space="preserve">Coverage inspection of every coil, including fin roots, tube bends and brazed joints.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0E1A24"/>
        </w:rPr>
        <w:t xml:space="preserve">Fin bridging check on the air inlet and outlet faces of every coil.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0E1A24"/>
        </w:rPr>
        <w:t xml:space="preserve">Dry film thickness measured for every batch against clause 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0E1A24"/>
        </w:rPr>
        <w:t xml:space="preserve">Cure record for every batch against clause 7.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0E1A24"/>
        </w:rPr>
        <w:t xml:space="preserve">Cross-cut adhesion on panels cured with the batch.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color w:val="0E1A24"/>
        </w:rPr>
        <w:t xml:space="preserve">Photo record of incoming condition, coating and packing.</w:t>
      </w:r>
    </w:p>
    <w:p>
      <w:pPr>
        <w:pStyle w:val="Heading1"/>
        <w:spacing w:after="120" w:before="280"/>
      </w:pPr>
      <w:r>
        <w:t xml:space="preserve">10. Submittals and records</w:t>
      </w:r>
    </w:p>
    <w:p>
      <w:pPr>
        <w:spacing w:after="120"/>
        <w:ind w:left="0"/>
      </w:pPr>
      <w:r>
        <w:rPr>
          <w:color w:val="0E1A24"/>
        </w:rPr>
        <w:t xml:space="preserve">10.1  Before production: TDS, SDS, test reports for clause 8, application method statement and, for new systems, a first-article report for approval.</w:t>
      </w:r>
    </w:p>
    <w:p>
      <w:pPr>
        <w:spacing w:after="120"/>
        <w:ind w:left="0"/>
      </w:pPr>
      <w:r>
        <w:rPr>
          <w:color w:val="0E1A24"/>
        </w:rPr>
        <w:t xml:space="preserve">10.2  With the goods: batch QC report including coating batch and mix, cure record, film thickness record, inspection results and photos, and the warranty certificate.</w:t>
      </w:r>
    </w:p>
    <w:p>
      <w:pPr>
        <w:pStyle w:val="Heading1"/>
        <w:spacing w:after="120" w:before="280"/>
      </w:pPr>
      <w:r>
        <w:t xml:space="preserve">11. Packing and transport</w:t>
      </w:r>
    </w:p>
    <w:p>
      <w:pPr>
        <w:spacing w:after="120"/>
        <w:ind w:left="0"/>
      </w:pPr>
      <w:r>
        <w:rPr>
          <w:color w:val="0E1A24"/>
        </w:rPr>
        <w:t xml:space="preserve">11.1  Coils shall be packed only after full cure, with fin faces protected against impact and the goods protected against moisture and salt air in transit.</w:t>
      </w:r>
    </w:p>
    <w:p>
      <w:pPr>
        <w:pStyle w:val="Heading1"/>
        <w:spacing w:after="120" w:before="280"/>
      </w:pPr>
      <w:r>
        <w:t xml:space="preserve">12. Warranty</w:t>
      </w:r>
    </w:p>
    <w:p>
      <w:pPr>
        <w:spacing w:after="120"/>
        <w:ind w:left="0"/>
      </w:pPr>
      <w:r>
        <w:rPr>
          <w:color w:val="0E1A24"/>
        </w:rPr>
        <w:t xml:space="preserve">12.1  The applicator shall warrant coverage, adhesion and cure of the applied coating for </w:t>
      </w:r>
      <w:r>
        <w:rPr>
          <w:b/>
          <w:bCs/>
          <w:color w:val="0F6E74"/>
        </w:rPr>
        <w:t xml:space="preserve">[period]</w:t>
      </w:r>
      <w:r>
        <w:rPr>
          <w:color w:val="0E1A24"/>
        </w:rPr>
        <w:t xml:space="preserve"> at the site category in clause 2, subject to the stated cleaning and handling conditions.</w:t>
      </w:r>
    </w:p>
    <w:p>
      <w:pPr>
        <w:spacing w:after="120"/>
        <w:ind w:left="0"/>
      </w:pPr>
      <w:r>
        <w:rPr>
          <w:color w:val="0E1A24"/>
        </w:rPr>
        <w:t xml:space="preserve">12.2  Where the coating is specified by the purchaser, the applicator is responsible for application quality and the coating manufacturer for the performance of the coating.</w:t>
      </w:r>
    </w:p>
    <w:p>
      <w:pPr>
        <w:pStyle w:val="Heading1"/>
        <w:spacing w:after="120" w:before="280"/>
      </w:pPr>
      <w:r>
        <w:t xml:space="preserve">13. Handling and maintenance</w:t>
      </w:r>
    </w:p>
    <w:p>
      <w:pPr>
        <w:spacing w:after="120"/>
        <w:ind w:left="0"/>
      </w:pPr>
      <w:r>
        <w:rPr>
          <w:color w:val="0E1A24"/>
        </w:rPr>
        <w:t xml:space="preserve">13.1  Coated coils shall be cleaned with low-pressure water and neutral cleaners only. High-pressure washing, strong acid or alkaline cleaners and abrasive tools are not permitted.</w:t>
      </w:r>
    </w:p>
    <w:p>
      <w:pPr>
        <w:spacing w:after="120"/>
        <w:ind w:left="0"/>
      </w:pPr>
      <w:r>
        <w:rPr>
          <w:color w:val="0E1A24"/>
        </w:rPr>
        <w:t xml:space="preserve">13.2  Damage found on arrival or after installation shall be recorded with photos and touched up with an ambient-cure system before the unit enters service.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A5A66"/>
        <w:sz w:val="16"/>
        <w:szCs w:val="16"/>
      </w:rPr>
      <w:t xml:space="preserve">Template: pelagard.com · Page </w:t>
    </w:r>
    <w:r>
      <w:rPr>
        <w:color w:val="4A5A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0E1A24"/>
        <w:sz w:val="16"/>
        <w:szCs w:val="16"/>
      </w:rPr>
      <w:t xml:space="preserve">Coil coating specification — </w:t>
    </w:r>
    <w:r>
      <w:rPr>
        <w:b/>
        <w:bCs/>
        <w:color w:val="0F6E74"/>
        <w:sz w:val="16"/>
        <w:szCs w:val="16"/>
      </w:rPr>
      <w:t xml:space="preserve">[project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E1A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Arial" w:cs="Arial" w:eastAsia="Arial" w:hAnsi="Arial"/>
      <w:b/>
      <w:bCs/>
      <w:color w:val="0E1A2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80"/>
      <w:outlineLvl w:val="0"/>
    </w:pPr>
    <w:rPr>
      <w:rFonts w:ascii="Arial" w:cs="Arial" w:eastAsia="Arial" w:hAnsi="Arial"/>
      <w:b/>
      <w:bCs/>
      <w:color w:val="0E1A24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Coil coating specification — template</dc:title>
  <dc:creator>Pelagard</dc:creator>
  <cp:lastModifiedBy>Un-named</cp:lastModifiedBy>
  <cp:revision>1</cp:revision>
  <dcterms:created xsi:type="dcterms:W3CDTF">2026-09-27T05:48:39.983Z</dcterms:created>
  <dcterms:modified xsi:type="dcterms:W3CDTF">2026-09-27T05:48:39.983Z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